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40"/>
          <w:szCs w:val="40"/>
          <w:u w:val="single"/>
        </w:rPr>
      </w:pPr>
      <w:r w:rsidDel="00000000" w:rsidR="00000000" w:rsidRPr="00000000">
        <w:rPr>
          <w:rFonts w:ascii="Times New Roman" w:cs="Times New Roman" w:eastAsia="Times New Roman" w:hAnsi="Times New Roman"/>
          <w:b w:val="1"/>
          <w:bCs w:val="1"/>
          <w:sz w:val="40"/>
          <w:szCs w:val="40"/>
          <w:u w:val="single"/>
          <w:rtl w:val="0"/>
        </w:rPr>
        <w:t xml:space="preserve">Blood Pressure Monitors - Insurance Guidelines</w:t>
      </w:r>
    </w:p>
    <w:p w:rsidR="00000000" w:rsidDel="00000000" w:rsidP="00000000" w:rsidRDefault="00000000" w:rsidRPr="00000000" w14:paraId="00000003">
      <w:pPr>
        <w:jc w:val="center"/>
        <w:rPr>
          <w:rFonts w:ascii="Times New Roman" w:cs="Times New Roman" w:eastAsia="Times New Roman" w:hAnsi="Times New Roman"/>
          <w:b w:val="1"/>
          <w:bCs w:val="1"/>
          <w:sz w:val="36"/>
          <w:szCs w:val="36"/>
          <w:u w:val="single"/>
        </w:rPr>
      </w:pPr>
      <w:r w:rsidDel="00000000" w:rsidR="00000000" w:rsidRPr="00000000">
        <w:rPr>
          <w:rtl w:val="0"/>
        </w:rPr>
      </w:r>
    </w:p>
    <w:p w:rsidR="00000000" w:rsidDel="00000000" w:rsidP="00000000" w:rsidRDefault="00000000" w:rsidRPr="00000000" w14:paraId="00000004">
      <w:pPr>
        <w:numPr>
          <w:ilvl w:val="0"/>
          <w:numId w:val="2"/>
        </w:numPr>
        <w:ind w:left="144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Prescription (Rx) must state for HOME USAGE.</w:t>
      </w:r>
    </w:p>
    <w:p w:rsidR="00000000" w:rsidDel="00000000" w:rsidP="00000000" w:rsidRDefault="00000000" w:rsidRPr="00000000" w14:paraId="00000005">
      <w:pPr>
        <w:numPr>
          <w:ilvl w:val="0"/>
          <w:numId w:val="2"/>
        </w:numPr>
        <w:ind w:left="144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patient must have a High BP notated across multiple office visits.</w:t>
      </w:r>
    </w:p>
    <w:p w:rsidR="00000000" w:rsidDel="00000000" w:rsidP="00000000" w:rsidRDefault="00000000" w:rsidRPr="00000000" w14:paraId="00000006">
      <w:pPr>
        <w:numPr>
          <w:ilvl w:val="0"/>
          <w:numId w:val="2"/>
        </w:numPr>
        <w:ind w:left="144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patient's BP must stay high within the same appointment at the interval checks (more than one reading is required).</w:t>
      </w:r>
    </w:p>
    <w:p w:rsidR="00000000" w:rsidDel="00000000" w:rsidP="00000000" w:rsidRDefault="00000000" w:rsidRPr="00000000" w14:paraId="00000007">
      <w:pPr>
        <w:numPr>
          <w:ilvl w:val="0"/>
          <w:numId w:val="2"/>
        </w:numPr>
        <w:ind w:left="144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patient must be compliant with the </w:t>
      </w:r>
      <w:r w:rsidDel="00000000" w:rsidR="00000000" w:rsidRPr="00000000">
        <w:rPr>
          <w:rFonts w:ascii="Times New Roman" w:cs="Times New Roman" w:eastAsia="Times New Roman" w:hAnsi="Times New Roman"/>
          <w:i w:val="1"/>
          <w:iCs w:val="1"/>
          <w:sz w:val="28"/>
          <w:szCs w:val="28"/>
          <w:rtl w:val="0"/>
        </w:rPr>
        <w:t xml:space="preserve">Plan of Care</w:t>
      </w:r>
      <w:r w:rsidDel="00000000" w:rsidR="00000000" w:rsidRPr="00000000">
        <w:rPr>
          <w:rFonts w:ascii="Times New Roman" w:cs="Times New Roman" w:eastAsia="Times New Roman" w:hAnsi="Times New Roman"/>
          <w:sz w:val="28"/>
          <w:szCs w:val="28"/>
          <w:rtl w:val="0"/>
        </w:rPr>
        <w:t xml:space="preserve"> for HTN.</w:t>
      </w:r>
    </w:p>
    <w:p w:rsidR="00000000" w:rsidDel="00000000" w:rsidP="00000000" w:rsidRDefault="00000000" w:rsidRPr="00000000" w14:paraId="00000008">
      <w:pPr>
        <w:numPr>
          <w:ilvl w:val="1"/>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patient has NOT been taking their meds, they cannot get a BP Kit.</w:t>
      </w:r>
    </w:p>
    <w:p w:rsidR="00000000" w:rsidDel="00000000" w:rsidP="00000000" w:rsidRDefault="00000000" w:rsidRPr="00000000" w14:paraId="00000009">
      <w:pPr>
        <w:numPr>
          <w:ilvl w:val="1"/>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1"/>
          <w:iCs w:val="1"/>
          <w:sz w:val="28"/>
          <w:szCs w:val="28"/>
          <w:rtl w:val="0"/>
        </w:rPr>
        <w:t xml:space="preserve">Plan of Care</w:t>
      </w:r>
      <w:r w:rsidDel="00000000" w:rsidR="00000000" w:rsidRPr="00000000">
        <w:rPr>
          <w:rFonts w:ascii="Times New Roman" w:cs="Times New Roman" w:eastAsia="Times New Roman" w:hAnsi="Times New Roman"/>
          <w:sz w:val="28"/>
          <w:szCs w:val="28"/>
          <w:rtl w:val="0"/>
        </w:rPr>
        <w:t xml:space="preserve"> must also be sent.</w:t>
      </w:r>
    </w:p>
    <w:p w:rsidR="00000000" w:rsidDel="00000000" w:rsidP="00000000" w:rsidRDefault="00000000" w:rsidRPr="00000000" w14:paraId="0000000A">
      <w:pPr>
        <w:ind w:left="72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For Medicaid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BPMs are medically necessary when the medical provider requires the patient to independently monitor and report their blood pressure from home due to conditions such as hypertension, hypotension, renal failure, or </w:t>
      </w:r>
      <w:r w:rsidDel="00000000" w:rsidR="00000000" w:rsidRPr="00000000">
        <w:rPr>
          <w:rFonts w:ascii="Times New Roman" w:cs="Times New Roman" w:eastAsia="Times New Roman" w:hAnsi="Times New Roman"/>
          <w:b w:val="1"/>
          <w:bCs w:val="1"/>
          <w:sz w:val="28"/>
          <w:szCs w:val="28"/>
          <w:u w:val="single"/>
          <w:rtl w:val="0"/>
        </w:rPr>
        <w:t xml:space="preserve">complications of pregnancy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b w:val="1"/>
          <w:bCs w:val="1"/>
          <w:i w:val="1"/>
          <w:iCs w:val="1"/>
          <w:sz w:val="30"/>
          <w:szCs w:val="30"/>
        </w:rPr>
      </w:pPr>
      <w:r w:rsidDel="00000000" w:rsidR="00000000" w:rsidRPr="00000000">
        <w:rPr>
          <w:rFonts w:ascii="Times New Roman" w:cs="Times New Roman" w:eastAsia="Times New Roman" w:hAnsi="Times New Roman"/>
          <w:b w:val="1"/>
          <w:bCs w:val="1"/>
          <w:i w:val="1"/>
          <w:iCs w:val="1"/>
          <w:sz w:val="30"/>
          <w:szCs w:val="30"/>
          <w:rtl w:val="0"/>
        </w:rPr>
        <w:t xml:space="preserve">Exceptions:</w:t>
      </w:r>
    </w:p>
    <w:p w:rsidR="00000000" w:rsidDel="00000000" w:rsidP="00000000" w:rsidRDefault="00000000" w:rsidRPr="00000000" w14:paraId="0000000F">
      <w:pPr>
        <w:numPr>
          <w:ilvl w:val="0"/>
          <w:numId w:val="1"/>
        </w:numPr>
        <w:ind w:left="720" w:hanging="360"/>
        <w:jc w:val="left"/>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Medicare does not cover an Automatic BPM unless the patient is on dialysis</w:t>
      </w:r>
    </w:p>
    <w:p w:rsidR="00000000" w:rsidDel="00000000" w:rsidP="00000000" w:rsidRDefault="00000000" w:rsidRPr="00000000" w14:paraId="00000010">
      <w:pPr>
        <w:numPr>
          <w:ilvl w:val="0"/>
          <w:numId w:val="1"/>
        </w:numPr>
        <w:ind w:left="720" w:hanging="360"/>
        <w:jc w:val="left"/>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BCBS does not cover a BPM if the patient is already diagnosed with HTN</w:t>
      </w:r>
    </w:p>
    <w:p w:rsidR="00000000" w:rsidDel="00000000" w:rsidP="00000000" w:rsidRDefault="00000000" w:rsidRPr="00000000" w14:paraId="00000011">
      <w:pPr>
        <w:ind w:left="0" w:firstLine="0"/>
        <w:jc w:val="left"/>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12">
      <w:pPr>
        <w:ind w:left="0" w:firstLine="0"/>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**We are not in-network with HMO Plans. Please inform your patient to verify if their policy has OON coverage prior to completing their order with us.**</w:t>
      </w:r>
    </w:p>
    <w:p w:rsidR="00000000" w:rsidDel="00000000" w:rsidP="00000000" w:rsidRDefault="00000000" w:rsidRPr="00000000" w14:paraId="00000013">
      <w:pPr>
        <w:ind w:left="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ind w:left="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ind w:left="0" w:firstLine="0"/>
        <w:jc w:val="center"/>
        <w:rPr>
          <w:rFonts w:ascii="Times New Roman" w:cs="Times New Roman" w:eastAsia="Times New Roman" w:hAnsi="Times New Roman"/>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b w:val="1"/>
        <w:bCs w:val="1"/>
        <w:sz w:val="20"/>
        <w:szCs w:val="20"/>
      </w:rPr>
    </w:pPr>
    <w:r w:rsidDel="00000000" w:rsidR="00000000" w:rsidRPr="00000000">
      <w:rPr>
        <w:b w:val="1"/>
        <w:bCs w:val="1"/>
        <w:sz w:val="20"/>
        <w:szCs w:val="20"/>
        <w:rtl w:val="0"/>
      </w:rPr>
      <w:t xml:space="preserve">20 Medical Campus Dr. Ste 102.                                                                           1635 N. Howe St. Ste H           Supply, NC. 28462</w:t>
      <w:tab/>
      <w:tab/>
      <w:tab/>
      <w:tab/>
      <w:tab/>
      <w:tab/>
      <w:tab/>
      <w:tab/>
      <w:t xml:space="preserve">  Southport, NC. 28461</w:t>
    </w:r>
  </w:p>
  <w:p w:rsidR="00000000" w:rsidDel="00000000" w:rsidP="00000000" w:rsidRDefault="00000000" w:rsidRPr="00000000" w14:paraId="00000018">
    <w:pPr>
      <w:rPr>
        <w:b w:val="1"/>
        <w:bCs w:val="1"/>
        <w:sz w:val="20"/>
        <w:szCs w:val="20"/>
      </w:rPr>
    </w:pPr>
    <w:r w:rsidDel="00000000" w:rsidR="00000000" w:rsidRPr="00000000">
      <w:rPr>
        <w:b w:val="1"/>
        <w:bCs w:val="1"/>
        <w:sz w:val="20"/>
        <w:szCs w:val="20"/>
        <w:rtl w:val="0"/>
      </w:rPr>
      <w:t xml:space="preserve">Office (910) 755-6767      </w:t>
      <w:tab/>
      <w:tab/>
      <w:tab/>
      <w:tab/>
      <w:tab/>
      <w:tab/>
      <w:tab/>
      <w:t xml:space="preserve">   Office (910) 454-4545      </w:t>
    </w:r>
  </w:p>
  <w:p w:rsidR="00000000" w:rsidDel="00000000" w:rsidP="00000000" w:rsidRDefault="00000000" w:rsidRPr="00000000" w14:paraId="00000019">
    <w:pPr>
      <w:rPr/>
    </w:pPr>
    <w:r w:rsidDel="00000000" w:rsidR="00000000" w:rsidRPr="00000000">
      <w:rPr>
        <w:b w:val="1"/>
        <w:bCs w:val="1"/>
        <w:sz w:val="20"/>
        <w:szCs w:val="20"/>
        <w:rtl w:val="0"/>
      </w:rPr>
      <w:t xml:space="preserve">Fax (910) 755-6769</w:t>
      <w:tab/>
      <w:tab/>
      <w:tab/>
      <w:tab/>
      <w:tab/>
      <w:tab/>
      <w:tab/>
      <w:tab/>
      <w:t xml:space="preserve">       Fax (910) 454-0122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b w:val="1"/>
        <w:bCs w:val="1"/>
        <w:sz w:val="20"/>
        <w:szCs w:val="20"/>
      </w:rPr>
      <w:drawing>
        <wp:inline distB="114300" distT="114300" distL="114300" distR="114300">
          <wp:extent cx="2733675" cy="1152525"/>
          <wp:effectExtent b="0" l="0" r="0" t="0"/>
          <wp:docPr id="1" name="image1.png"/>
          <a:graphic>
            <a:graphicData uri="http://schemas.openxmlformats.org/drawingml/2006/picture">
              <pic:pic>
                <pic:nvPicPr>
                  <pic:cNvPr id="0" name="image1.png"/>
                  <pic:cNvPicPr preferRelativeResize="0"/>
                </pic:nvPicPr>
                <pic:blipFill>
                  <a:blip r:embed="rId1"/>
                  <a:srcRect b="13571" l="0" r="0" t="0"/>
                  <a:stretch>
                    <a:fillRect/>
                  </a:stretch>
                </pic:blipFill>
                <pic:spPr>
                  <a:xfrm>
                    <a:off x="0" y="0"/>
                    <a:ext cx="2733675" cy="1152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